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2F0D9" w:themeColor="accent6" w:themeTint="33"/>
  <w:body>
    <w:p>
      <w:pPr>
        <w:snapToGrid w:val="0"/>
        <w:spacing w:line="360" w:lineRule="auto"/>
        <w:jc w:val="center"/>
        <w:rPr>
          <w:rFonts w:ascii="仿宋" w:hAnsi="仿宋" w:eastAsia="仿宋" w:cs="仿宋"/>
          <w:b/>
          <w:bCs/>
          <w:sz w:val="40"/>
          <w:szCs w:val="40"/>
        </w:rPr>
      </w:pPr>
      <w:r>
        <w:rPr>
          <w:rFonts w:hint="eastAsia" w:ascii="仿宋" w:hAnsi="仿宋" w:eastAsia="仿宋" w:cs="仿宋"/>
          <w:b/>
          <w:bCs/>
          <w:sz w:val="40"/>
          <w:szCs w:val="40"/>
        </w:rPr>
        <w:t>重庆医科大学2019年学风建设工作年度报告</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2019年，重庆医科大学坚决贯彻落实习近平总书记关于立德树人、科学道德和学风建设等工作的重要指示精神，大力弘扬新时代科学家精神，切实加强师德师风、科学道德和学风建设，努力营造恪守诚信、严谨求实的学术氛围和追求真理、勇攀高峰的价值理念，现总</w:t>
      </w:r>
      <w:bookmarkStart w:id="1" w:name="_GoBack"/>
      <w:bookmarkEnd w:id="1"/>
      <w:r>
        <w:rPr>
          <w:rFonts w:hint="eastAsia" w:ascii="仿宋" w:hAnsi="仿宋" w:eastAsia="仿宋" w:cs="仿宋"/>
          <w:sz w:val="28"/>
          <w:szCs w:val="28"/>
        </w:rPr>
        <w:t>结报告如下。</w:t>
      </w:r>
    </w:p>
    <w:p>
      <w:pPr>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一、开展的工作和成效</w:t>
      </w:r>
    </w:p>
    <w:p>
      <w:pPr>
        <w:snapToGrid w:val="0"/>
        <w:spacing w:line="360" w:lineRule="auto"/>
        <w:rPr>
          <w:rFonts w:ascii="仿宋" w:hAnsi="仿宋" w:eastAsia="仿宋" w:cs="仿宋"/>
          <w:b/>
          <w:bCs/>
          <w:sz w:val="28"/>
          <w:szCs w:val="28"/>
        </w:rPr>
      </w:pPr>
      <w:r>
        <w:rPr>
          <w:rFonts w:hint="eastAsia" w:ascii="仿宋" w:hAnsi="仿宋" w:eastAsia="仿宋" w:cs="仿宋"/>
          <w:b/>
          <w:bCs/>
          <w:sz w:val="28"/>
          <w:szCs w:val="28"/>
        </w:rPr>
        <w:t>1、加强科学道德和学风建设组织领导</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在学校党政的正确领导下，学校相关职能部门把师德师风、科学道德和学风建设工作统一到国家、重庆市的工作要求上来，进一步深化落实工作举措，形成长效机制。成立“师德建设工作领导小组”、“师德建设工作委员会”，校党委书记、校长担任领导小组组长。设立党委教师工作部，全面统筹师德师风建设。</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落实二级院系学风建设主体责任。根据“加强统筹，强化长效机制和职能部门责任；分级管理，强化二级院系主体责任；补齐短板，加快解决学风突出问题；自查自纠，关口前移化解科学道德潜在风险”的工作思路，各学院根据条块分解责任，强化监督，加强科学道德与学风建设的制度体系建设，将相关工作系统化、常态化、全过程、全覆盖，不断促进学风建设。</w:t>
      </w:r>
    </w:p>
    <w:p>
      <w:pPr>
        <w:snapToGrid w:val="0"/>
        <w:spacing w:line="360" w:lineRule="auto"/>
        <w:rPr>
          <w:rFonts w:ascii="仿宋" w:hAnsi="仿宋" w:eastAsia="仿宋" w:cs="仿宋"/>
          <w:b/>
          <w:bCs/>
          <w:sz w:val="28"/>
          <w:szCs w:val="28"/>
          <w:highlight w:val="yellow"/>
        </w:rPr>
      </w:pPr>
      <w:r>
        <w:rPr>
          <w:rFonts w:hint="eastAsia" w:ascii="仿宋" w:hAnsi="仿宋" w:eastAsia="仿宋" w:cs="仿宋"/>
          <w:b/>
          <w:bCs/>
          <w:sz w:val="28"/>
          <w:szCs w:val="28"/>
        </w:rPr>
        <w:t>2、完善管理制度，加强督导和监管</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（1）学校累计制订了有关师德师风、科学道德和学风考风等相关文件20余个。在此基础上，2</w:t>
      </w:r>
      <w:r>
        <w:rPr>
          <w:rFonts w:ascii="仿宋" w:hAnsi="仿宋" w:eastAsia="仿宋" w:cs="仿宋"/>
          <w:sz w:val="28"/>
          <w:szCs w:val="28"/>
        </w:rPr>
        <w:t>019年，学校</w:t>
      </w:r>
      <w:r>
        <w:rPr>
          <w:rFonts w:hint="eastAsia" w:ascii="仿宋" w:hAnsi="仿宋" w:eastAsia="仿宋" w:cs="仿宋"/>
          <w:sz w:val="28"/>
          <w:szCs w:val="28"/>
        </w:rPr>
        <w:t>制定《重庆医科大学师德失范行为处理办法（试行）》（重医大党委发〔2019〕104号）、《重庆医科大学全面落实研究生导师立德树人职责实施办法（试行）》（重医大文〔2019〕568号），将教师思想素质和职业道德列为首要条件，用制度规范教师教育教学行为，对失德失范者实行一票否决。印发《重庆医科大学发表学术论文规范》（重医大文〔2019〕77号）、《重庆医科大学关于加强科研行为规范管理的规定（试行）》（重医大文〔2019〕78号）、《重庆医科大学研究生课程教学管理办法（试行）的通知》（重医大文〔2019〕570号）、《</w:t>
      </w:r>
      <w:r>
        <w:rPr>
          <w:rFonts w:ascii="仿宋" w:hAnsi="仿宋" w:eastAsia="仿宋" w:cs="仿宋"/>
          <w:sz w:val="28"/>
          <w:szCs w:val="28"/>
        </w:rPr>
        <w:t>关于做好2019届本科生毕业论文（设计）质量管理的通知</w:t>
      </w:r>
      <w:r>
        <w:rPr>
          <w:rFonts w:hint="eastAsia" w:ascii="仿宋" w:hAnsi="仿宋" w:eastAsia="仿宋" w:cs="仿宋"/>
          <w:sz w:val="28"/>
          <w:szCs w:val="28"/>
        </w:rPr>
        <w:t>》《重庆医科大学研究生课程考试考场规则（2019年）》等文件，进一步规范师生学术和科研行为。此外，在人才评价、项目申报等过程中，将科学道德作为必要条件，实行“一票否决”，在院系年度管理水平考核中，将科学道德与学风建设作为重要考核指标。建立了学风建设工作年度发布制度。</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积极响应“放管服”改革精神，大胆突破限制科技创新和科技人才发展的制度藩篱，及时修订《重庆医科大学科研经费报销审批办法（修订版）》（重医大文[2019]572号），完善以信任为前提、诚信为底线的科研经费管理机制，赋予科研工作者更多的自主支配权。就“破四维”、科研量化评分标准等问题广泛征求全校师生意见建议，充分开展论证评估，营造了良好的潜心研究的学术氛围。</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加强研究生培养的过程管理。加强研究生课程监督，规范学术讲座学分管理，在研究生培养方案中新增文献阅读与综述撰写环节。重视研究生的开题报告评议组织，逐级检查各研究生培养单位的研究生开题报告组织情况。严格中期考核环节管理，落实研究生课题的进展情况、学分完成情况，通过管理系统做到实时督促、具体落实。有针对性、有目的性的开展研究生科研记录检查，保障科研记录检查质量。通过学位论文复制率检查、学位论文外送双盲评审和科技论文投稿审查等制度，降低研究生培养环节中学术不端行为发生概率。</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严肃考风考纪，以考风管理促学风建设，严肃处理考试违纪行为。考前与研究生签订《重庆医科大学研究生诚信考试承诺书》，在考试过程中采用屏蔽仪等设备杜绝手机等通信工具作弊，加大监考老师巡查力度。考风考纪诚信教育营造了健康向上的学风、考风，让学生从思想上杜绝作弊意识，引导学生自觉诚信迎考，遵守考场纪律。</w:t>
      </w:r>
    </w:p>
    <w:p>
      <w:pPr>
        <w:snapToGrid w:val="0"/>
        <w:spacing w:line="360" w:lineRule="auto"/>
        <w:rPr>
          <w:rFonts w:ascii="仿宋" w:hAnsi="仿宋" w:eastAsia="仿宋" w:cs="仿宋"/>
          <w:b/>
          <w:bCs/>
          <w:sz w:val="28"/>
          <w:szCs w:val="28"/>
        </w:rPr>
      </w:pPr>
      <w:r>
        <w:rPr>
          <w:rFonts w:hint="eastAsia" w:ascii="仿宋" w:hAnsi="仿宋" w:eastAsia="仿宋" w:cs="仿宋"/>
          <w:b/>
          <w:bCs/>
          <w:sz w:val="28"/>
          <w:szCs w:val="28"/>
        </w:rPr>
        <w:t>3、科学道德和学风教育宣讲常态化</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2019年，学校组织开展内容丰富、形式多样的科学道德和学风建设宣讲活动，邀请包括院士在内的专家学者针对全校师生开展了宣讲教育活动。通过承办“2019重庆英才大会系列活动·女科学家走进重庆医科大学”、组织参加“2019年重庆市科学道德和学风建设集中宣讲报告会”、收看“2019年全国科学道德和学风建设宣讲教育报告会”等活动，为广大科技工作者和全校师生开展了生动的科学道德和学风建设的示范课，强化了学术道德规范和学术诚信意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加大科研诚信管理相关文件精神学习和宣传力度。认真学习宣传中共中央办公厅、国务院办公厅《关于进一步弘扬科学家精神加强作风和学风建设的意见》《科研诚信案件调查处理规则（试行）》（国科发监〔2019〕323号）等文件，把握新师资入职培训、研究生导师培训、新生入学教育等重要时间节点进行政策及典型案例宣讲，使科研学术活动中不可触碰的“高压线”和不能逾越的“红线”深入人心，引导广大师生培养诚信的科研品行和踏实严谨的学风，树立正确的科学道德观。</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（3） </w:t>
      </w:r>
      <w:r>
        <w:rPr>
          <w:rFonts w:hint="eastAsia" w:ascii="Times New Roman" w:hAnsi="Times New Roman" w:eastAsia="仿宋" w:cs="Times New Roman"/>
          <w:sz w:val="28"/>
          <w:szCs w:val="28"/>
        </w:rPr>
        <w:t>将思想政治教</w:t>
      </w:r>
      <w:r>
        <w:rPr>
          <w:rFonts w:hint="eastAsia" w:ascii="仿宋" w:hAnsi="仿宋" w:eastAsia="仿宋" w:cs="仿宋"/>
          <w:sz w:val="28"/>
          <w:szCs w:val="28"/>
        </w:rPr>
        <w:t>育和医德培养贯穿教育教学全过程，推动思想政治教育、医学人文教育与专业教育有机结合。学校启动本科生成长导师、兼职班主任等制度引导学生健康发展，组织开展专题“课程思政”专项研究，积极推行“课程思政”教学改革等方式，实现专业和思政的双向引领。在庆祝中华人民共和国成立70周年期间，通过开展“青春向祖国表白”“我和国旗同框”、组织参观“伟大历程辉煌成就——庆祝中华人民共和国成立70周年大型成就展”网上展馆等活动，深化爱国主义教育，培育践行社会主义核心价值观，培养德智体美全面发展的社会主义建设者和接班人，全校师生1万余人参与。</w:t>
      </w:r>
      <w:r>
        <w:rPr>
          <w:rFonts w:ascii="仿宋" w:hAnsi="仿宋" w:eastAsia="仿宋" w:cs="仿宋"/>
          <w:sz w:val="28"/>
          <w:szCs w:val="28"/>
        </w:rPr>
        <w:t xml:space="preserve"> </w:t>
      </w:r>
    </w:p>
    <w:p>
      <w:pPr>
        <w:snapToGrid w:val="0"/>
        <w:spacing w:line="360" w:lineRule="auto"/>
        <w:rPr>
          <w:rFonts w:ascii="仿宋" w:hAnsi="仿宋" w:eastAsia="仿宋" w:cs="仿宋"/>
          <w:b/>
          <w:bCs/>
          <w:sz w:val="28"/>
          <w:szCs w:val="28"/>
        </w:rPr>
      </w:pPr>
      <w:r>
        <w:rPr>
          <w:rFonts w:hint="eastAsia" w:ascii="仿宋" w:hAnsi="仿宋" w:eastAsia="仿宋" w:cs="仿宋"/>
          <w:b/>
          <w:bCs/>
          <w:sz w:val="28"/>
          <w:szCs w:val="28"/>
        </w:rPr>
        <w:t>4、深化师德教育，完善师德教育格局</w:t>
      </w:r>
    </w:p>
    <w:p>
      <w:pPr>
        <w:snapToGrid w:val="0"/>
        <w:spacing w:line="360" w:lineRule="auto"/>
        <w:ind w:firstLine="560" w:firstLineChars="200"/>
        <w:rPr>
          <w:sz w:val="32"/>
          <w:szCs w:val="40"/>
        </w:rPr>
      </w:pPr>
      <w:r>
        <w:rPr>
          <w:rFonts w:hint="eastAsia" w:ascii="仿宋" w:hAnsi="仿宋" w:eastAsia="仿宋" w:cs="仿宋"/>
          <w:sz w:val="28"/>
          <w:szCs w:val="28"/>
        </w:rPr>
        <w:t>（1）高度重视教职员工的师德师风教育，强化教师立德树人职责落实。学校将教师思想素质和职业道德列为立德树人的首要条件，着力完善构建“三全育人”工作体系，形成全员育人、全过程育人、全方位育人的良好学风建设氛围。通过举办2019年度新进职工“师德师风”专题讲座，引导新入职教职工系好职业生涯“第一粒扣子”，为新进教师深化师德师风教育提供有力支撑。此外，学校还先后两次组织600余名研究生导师参加研究生导师培训，强化研究生导师对师德师风和职业规范的认识，增进教师的责任感、使命感、荣誉感，并以此为契机，建立研究生导师培训的常态化机制。</w:t>
      </w:r>
    </w:p>
    <w:p>
      <w:pPr>
        <w:snapToGrid w:val="0"/>
        <w:spacing w:line="360" w:lineRule="auto"/>
        <w:ind w:firstLine="555"/>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）弘扬榜样精神，发扬榜样力量。</w:t>
      </w:r>
      <w:r>
        <w:rPr>
          <w:rFonts w:ascii="Times New Roman" w:hAnsi="Times New Roman" w:eastAsia="仿宋" w:cs="Times New Roman"/>
          <w:sz w:val="28"/>
          <w:szCs w:val="28"/>
        </w:rPr>
        <w:t>学校坚持“以本为本，四个回归”</w:t>
      </w:r>
      <w:r>
        <w:rPr>
          <w:rFonts w:hint="eastAsia" w:ascii="Times New Roman" w:hAnsi="Times New Roman" w:eastAsia="仿宋" w:cs="Times New Roman"/>
          <w:sz w:val="28"/>
          <w:szCs w:val="28"/>
        </w:rPr>
        <w:t>的教育教学理念</w:t>
      </w:r>
      <w:r>
        <w:rPr>
          <w:rFonts w:ascii="Times New Roman" w:hAnsi="Times New Roman" w:eastAsia="仿宋" w:cs="Times New Roman"/>
          <w:sz w:val="28"/>
          <w:szCs w:val="28"/>
        </w:rPr>
        <w:t>，发扬以钱惪教授为代表的老一辈重医人理想信念坚定、道德情操高尚、潜心专研教学、热心关爱学生</w:t>
      </w:r>
      <w:r>
        <w:rPr>
          <w:rFonts w:hint="eastAsia" w:ascii="Times New Roman" w:hAnsi="Times New Roman" w:eastAsia="仿宋" w:cs="Times New Roman"/>
          <w:sz w:val="28"/>
          <w:szCs w:val="28"/>
        </w:rPr>
        <w:t>的榜样</w:t>
      </w:r>
      <w:r>
        <w:rPr>
          <w:rFonts w:ascii="Times New Roman" w:hAnsi="Times New Roman" w:eastAsia="仿宋" w:cs="Times New Roman"/>
          <w:sz w:val="28"/>
          <w:szCs w:val="28"/>
        </w:rPr>
        <w:t>精神，印发</w:t>
      </w:r>
      <w:r>
        <w:rPr>
          <w:rFonts w:hint="eastAsia" w:ascii="Times New Roman" w:hAnsi="Times New Roman" w:eastAsia="仿宋" w:cs="Times New Roman"/>
          <w:sz w:val="28"/>
          <w:szCs w:val="28"/>
        </w:rPr>
        <w:t>了</w:t>
      </w:r>
      <w:r>
        <w:rPr>
          <w:rFonts w:hint="eastAsia" w:ascii="仿宋" w:hAnsi="仿宋" w:eastAsia="仿宋" w:cs="仿宋"/>
          <w:sz w:val="28"/>
          <w:szCs w:val="28"/>
        </w:rPr>
        <w:t>《重庆医科大学教学名师奖评选办法》（重医大文〔2019〕111）号），并</w:t>
      </w:r>
      <w:r>
        <w:rPr>
          <w:rFonts w:ascii="Times New Roman" w:hAnsi="Times New Roman" w:eastAsia="仿宋" w:cs="Times New Roman"/>
          <w:sz w:val="28"/>
          <w:szCs w:val="28"/>
        </w:rPr>
        <w:t>设立了“钱惪教学名师奖”和“钱惪骨干教师奖”</w:t>
      </w:r>
      <w:r>
        <w:rPr>
          <w:rFonts w:hint="eastAsia" w:ascii="Times New Roman" w:hAnsi="Times New Roman" w:eastAsia="仿宋" w:cs="Times New Roman"/>
          <w:sz w:val="28"/>
          <w:szCs w:val="28"/>
        </w:rPr>
        <w:t>等教学名师奖</w:t>
      </w:r>
      <w:r>
        <w:rPr>
          <w:rFonts w:hint="eastAsia" w:ascii="仿宋" w:hAnsi="仿宋" w:eastAsia="仿宋" w:cs="仿宋"/>
          <w:sz w:val="28"/>
          <w:szCs w:val="28"/>
        </w:rPr>
        <w:t>。以教师节等重大节庆日为契机，积极利用网络、微信等新媒体，评选出重庆医科大学钱惪教学名师奖、发展贡献奖、辅导员年度人物、重医人物、先进个人等优秀教师，</w:t>
      </w:r>
      <w:r>
        <w:rPr>
          <w:rFonts w:ascii="Times New Roman" w:hAnsi="Times New Roman" w:eastAsia="仿宋" w:cs="Times New Roman"/>
          <w:sz w:val="28"/>
          <w:szCs w:val="28"/>
        </w:rPr>
        <w:t>激励广大教师投身教育教学工作，进一步提高了我校师资队伍整体水平和人才培养质量，以师德师风和教风建设促进学校的学风校风建设。</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）充分运用校史陈列室开展校史教育，不断深化校史和“西迁精神”学习教育，完善师德教育格局。与复旦大学上海医学院共同举办“</w:t>
      </w:r>
      <w:r>
        <w:rPr>
          <w:rFonts w:ascii="仿宋" w:hAnsi="仿宋" w:eastAsia="仿宋" w:cs="仿宋"/>
          <w:sz w:val="28"/>
          <w:szCs w:val="28"/>
        </w:rPr>
        <w:t>西迁创建重医的上医老校友代表</w:t>
      </w:r>
      <w:r>
        <w:rPr>
          <w:rFonts w:hint="eastAsia" w:ascii="仿宋" w:hAnsi="仿宋" w:eastAsia="仿宋" w:cs="仿宋"/>
          <w:sz w:val="28"/>
          <w:szCs w:val="28"/>
        </w:rPr>
        <w:t>座谈会”，成功举办“弦歌西进——上医重医西迁精神主题展览”和“西迁精神”报告会等一批有深度的西迁精神宣传活动，通过聆听西迁创校老前辈们创业奋斗的故事，感受他们崇高品质和坚定信念，激励全校师生接力奋斗，不负前辈们奠定的优良事业根基。</w:t>
      </w:r>
    </w:p>
    <w:p>
      <w:pPr>
        <w:snapToGrid w:val="0"/>
        <w:spacing w:line="360" w:lineRule="auto"/>
        <w:ind w:firstLine="562" w:firstLineChars="200"/>
        <w:rPr>
          <w:rFonts w:ascii="仿宋" w:hAnsi="仿宋" w:eastAsia="仿宋" w:cs="仿宋"/>
          <w:b/>
          <w:bCs/>
          <w:sz w:val="28"/>
          <w:szCs w:val="28"/>
        </w:rPr>
      </w:pPr>
      <w:r>
        <w:rPr>
          <w:rFonts w:ascii="仿宋" w:hAnsi="仿宋" w:eastAsia="仿宋" w:cs="仿宋"/>
          <w:b/>
          <w:bCs/>
          <w:sz w:val="28"/>
          <w:szCs w:val="28"/>
        </w:rPr>
        <w:t>5.</w:t>
      </w:r>
      <w:r>
        <w:rPr>
          <w:rFonts w:hint="eastAsia" w:ascii="仿宋_GB2312" w:hAnsi="仿宋_GB2312" w:eastAsia="仿宋_GB2312" w:cs="仿宋_GB2312"/>
          <w:b/>
          <w:sz w:val="28"/>
        </w:rPr>
        <w:t xml:space="preserve"> </w:t>
      </w:r>
      <w:r>
        <w:rPr>
          <w:rFonts w:hint="eastAsia" w:ascii="仿宋" w:hAnsi="仿宋" w:eastAsia="仿宋" w:cs="仿宋"/>
          <w:b/>
          <w:bCs/>
          <w:sz w:val="28"/>
          <w:szCs w:val="28"/>
        </w:rPr>
        <w:t>从速开展学术不端案件调查与处理，对学术不端行为“零容忍”</w:t>
      </w:r>
    </w:p>
    <w:p>
      <w:pPr>
        <w:snapToGrid w:val="0"/>
        <w:spacing w:line="360" w:lineRule="auto"/>
        <w:ind w:firstLine="560" w:firstLineChars="200"/>
        <w:rPr>
          <w:rFonts w:ascii="仿宋" w:hAnsi="仿宋" w:eastAsia="仿宋" w:cs="仿宋"/>
          <w:sz w:val="28"/>
          <w:szCs w:val="28"/>
        </w:rPr>
      </w:pPr>
      <w:bookmarkStart w:id="0" w:name="_Hlk41385634"/>
      <w:r>
        <w:rPr>
          <w:rFonts w:hint="eastAsia" w:ascii="仿宋" w:hAnsi="仿宋" w:eastAsia="仿宋" w:cs="仿宋"/>
          <w:sz w:val="28"/>
          <w:szCs w:val="28"/>
        </w:rPr>
        <w:t>2019年，应基金委要求，我校对附属医院某医生在2019年度科学基金项目申请过程中涉嫌科研不端行为及国外学术期刊批量撤稿事件开展调查。学校按程序进行了调查，</w:t>
      </w:r>
      <w:bookmarkEnd w:id="0"/>
      <w:r>
        <w:rPr>
          <w:rFonts w:hint="eastAsia" w:ascii="仿宋" w:hAnsi="仿宋" w:eastAsia="仿宋" w:cs="仿宋"/>
          <w:sz w:val="28"/>
          <w:szCs w:val="28"/>
        </w:rPr>
        <w:t>并将调查和认定结果报告国家自然科学基金委员会，待收到国家自然科学基金委处理决定后，我校将对当事人做出严肃处理，绝不姑息。</w:t>
      </w:r>
    </w:p>
    <w:p>
      <w:pPr>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二、2020年工作计划</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2020年重庆医科大学将继续秉持“严谨、求实、勤奋、进取”的精神，认真总结2019年科学道德和学风建设工作中已经取得的成效经验，精准聚焦科学道德和学风建设存在的问题，提出工作计划如下： </w:t>
      </w:r>
    </w:p>
    <w:p>
      <w:pPr>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（一）强化统筹协调，持续建立健全管理机制</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进一步加强制度建设和统筹协调，充分利用职能部门与二级学院之间的协调联动，齐抓共管，保证学风建设工作有序展开和顺利进行；支持各院系和二级单位结合自身实际和专业特点，不断总结完善科研诚信和学风道德管理制度，并开展形势多样、内容丰富的具有特色品牌效应的科学道德和学风建设活动项目。</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持续建立健全科研诚信和学风道德管理制度，以健全学风校风建设长效机制为目标，积极营造良好的育人氛围。严格落实督导教育工作，多部门联动做好师德师风、科学道德与学风考风督查抽查、记录工作，建立及时有效的反馈机制。</w:t>
      </w:r>
    </w:p>
    <w:p>
      <w:pPr>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（二）教育宣讲常态化，持续发挥引领示范作用</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继续加强师德师风建设，发挥名师榜样引领示范作用。常态化开展针对新师资、新职工、新晋导师及研究生等群体师德师风、科学道德、学术诚信及学风考风教育宣讲，不断提高教师队伍职业道德和业务能力水平。</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全校师生中以诚信教育为重点，加强社会公德、职业道德、家庭美德、个人品德教育，教育引导学生树立良好的道德观、价值观。努力培养学生奋斗精神，鼓励全体学生勇于创新，志存高远、追求卓越，为实现青春的价值而不懈奋斗。</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校将继续大力弘扬科学家精神和爱国奋斗精神，引导全校师生和科技工作者立志做新时代中国科学家精神的传承者、践行者，做风清气正科研环境的维护者、建设者，将爱国之情，报国之志，融入祖国改革的发展事业之中，融入人民创造历史的伟大奋斗之中，融入建设世界科技强国的伟大实践之中。</w:t>
      </w:r>
    </w:p>
    <w:p>
      <w:pPr>
        <w:snapToGrid w:val="0"/>
        <w:spacing w:line="360" w:lineRule="auto"/>
        <w:ind w:firstLine="560" w:firstLineChars="200"/>
        <w:rPr>
          <w:rFonts w:ascii="仿宋" w:hAnsi="仿宋" w:eastAsia="仿宋" w:cs="仿宋"/>
          <w:sz w:val="28"/>
          <w:szCs w:val="28"/>
        </w:rPr>
      </w:pP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重庆医科大学</w:t>
      </w:r>
    </w:p>
    <w:p>
      <w:pPr>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020</w:t>
      </w:r>
      <w:r>
        <w:rPr>
          <w:rFonts w:hint="eastAsia" w:ascii="仿宋" w:hAnsi="仿宋" w:eastAsia="仿宋" w:cs="仿宋"/>
          <w:sz w:val="28"/>
          <w:szCs w:val="28"/>
        </w:rPr>
        <w:t>年5月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916852"/>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F6"/>
    <w:rsid w:val="00025E49"/>
    <w:rsid w:val="00063A39"/>
    <w:rsid w:val="000744C1"/>
    <w:rsid w:val="00080DBA"/>
    <w:rsid w:val="000905E6"/>
    <w:rsid w:val="000B12AA"/>
    <w:rsid w:val="000C5008"/>
    <w:rsid w:val="000C6BBD"/>
    <w:rsid w:val="000D29CB"/>
    <w:rsid w:val="000D7EB2"/>
    <w:rsid w:val="000E3820"/>
    <w:rsid w:val="000E642B"/>
    <w:rsid w:val="00106EC6"/>
    <w:rsid w:val="00112DF6"/>
    <w:rsid w:val="00120FC8"/>
    <w:rsid w:val="001D1944"/>
    <w:rsid w:val="0020383D"/>
    <w:rsid w:val="00233B8F"/>
    <w:rsid w:val="00243FCE"/>
    <w:rsid w:val="0027481D"/>
    <w:rsid w:val="00274B94"/>
    <w:rsid w:val="002B3155"/>
    <w:rsid w:val="002B4083"/>
    <w:rsid w:val="002C6C5F"/>
    <w:rsid w:val="003016BB"/>
    <w:rsid w:val="0030224D"/>
    <w:rsid w:val="00302F3D"/>
    <w:rsid w:val="003070CA"/>
    <w:rsid w:val="0031015F"/>
    <w:rsid w:val="0033033A"/>
    <w:rsid w:val="00373A7D"/>
    <w:rsid w:val="003748CC"/>
    <w:rsid w:val="003815C7"/>
    <w:rsid w:val="003A0A2E"/>
    <w:rsid w:val="00404C04"/>
    <w:rsid w:val="00427F53"/>
    <w:rsid w:val="00432667"/>
    <w:rsid w:val="00450FE4"/>
    <w:rsid w:val="00497D9E"/>
    <w:rsid w:val="004C7EED"/>
    <w:rsid w:val="00545223"/>
    <w:rsid w:val="00554DC9"/>
    <w:rsid w:val="005672FD"/>
    <w:rsid w:val="005B4D3D"/>
    <w:rsid w:val="005C30CF"/>
    <w:rsid w:val="005F5A5C"/>
    <w:rsid w:val="00600830"/>
    <w:rsid w:val="006373BE"/>
    <w:rsid w:val="006416C6"/>
    <w:rsid w:val="00657CFF"/>
    <w:rsid w:val="00663591"/>
    <w:rsid w:val="006777B2"/>
    <w:rsid w:val="00686EE1"/>
    <w:rsid w:val="006A7D3D"/>
    <w:rsid w:val="006F2DA2"/>
    <w:rsid w:val="007217E2"/>
    <w:rsid w:val="0072508A"/>
    <w:rsid w:val="00736A73"/>
    <w:rsid w:val="0074307B"/>
    <w:rsid w:val="0075509E"/>
    <w:rsid w:val="007857F5"/>
    <w:rsid w:val="00787DC9"/>
    <w:rsid w:val="007A3B3D"/>
    <w:rsid w:val="007A4F8C"/>
    <w:rsid w:val="007A5463"/>
    <w:rsid w:val="007B1A2A"/>
    <w:rsid w:val="007C1B3D"/>
    <w:rsid w:val="007C7A19"/>
    <w:rsid w:val="007D5761"/>
    <w:rsid w:val="008018BF"/>
    <w:rsid w:val="008140A3"/>
    <w:rsid w:val="0081507A"/>
    <w:rsid w:val="00886238"/>
    <w:rsid w:val="00893CFA"/>
    <w:rsid w:val="008B257C"/>
    <w:rsid w:val="009212DE"/>
    <w:rsid w:val="00953F15"/>
    <w:rsid w:val="009734D6"/>
    <w:rsid w:val="00A05275"/>
    <w:rsid w:val="00A33BEB"/>
    <w:rsid w:val="00AA1EE3"/>
    <w:rsid w:val="00AB00EC"/>
    <w:rsid w:val="00B523BB"/>
    <w:rsid w:val="00B6598C"/>
    <w:rsid w:val="00B73ECD"/>
    <w:rsid w:val="00B7727A"/>
    <w:rsid w:val="00B9560B"/>
    <w:rsid w:val="00BA3A96"/>
    <w:rsid w:val="00BD7658"/>
    <w:rsid w:val="00BF44BF"/>
    <w:rsid w:val="00C02F67"/>
    <w:rsid w:val="00C55259"/>
    <w:rsid w:val="00CA4501"/>
    <w:rsid w:val="00CB1E33"/>
    <w:rsid w:val="00CB41FA"/>
    <w:rsid w:val="00CC01A8"/>
    <w:rsid w:val="00CC6E7E"/>
    <w:rsid w:val="00D358B8"/>
    <w:rsid w:val="00D76FF1"/>
    <w:rsid w:val="00D90042"/>
    <w:rsid w:val="00DA2872"/>
    <w:rsid w:val="00DC2DBD"/>
    <w:rsid w:val="00DE642E"/>
    <w:rsid w:val="00E46A8F"/>
    <w:rsid w:val="00E578EC"/>
    <w:rsid w:val="00E67C08"/>
    <w:rsid w:val="00E968C3"/>
    <w:rsid w:val="00EA3FB6"/>
    <w:rsid w:val="00EB7236"/>
    <w:rsid w:val="00EC057D"/>
    <w:rsid w:val="00EC166F"/>
    <w:rsid w:val="00EC58B6"/>
    <w:rsid w:val="00ED157A"/>
    <w:rsid w:val="00F06571"/>
    <w:rsid w:val="00F17416"/>
    <w:rsid w:val="00F347F0"/>
    <w:rsid w:val="00F66D98"/>
    <w:rsid w:val="00FE4C01"/>
    <w:rsid w:val="01A52264"/>
    <w:rsid w:val="0E7B1B35"/>
    <w:rsid w:val="12B7352D"/>
    <w:rsid w:val="143C4179"/>
    <w:rsid w:val="14F20F05"/>
    <w:rsid w:val="15944396"/>
    <w:rsid w:val="1A9D77EF"/>
    <w:rsid w:val="1DE40873"/>
    <w:rsid w:val="1EB87584"/>
    <w:rsid w:val="34E93CE5"/>
    <w:rsid w:val="34F528D9"/>
    <w:rsid w:val="39FF4D7F"/>
    <w:rsid w:val="3FA526EB"/>
    <w:rsid w:val="419F4A2B"/>
    <w:rsid w:val="4A926E8F"/>
    <w:rsid w:val="4AD6709D"/>
    <w:rsid w:val="54723D93"/>
    <w:rsid w:val="599F61A6"/>
    <w:rsid w:val="5CCD7E5F"/>
    <w:rsid w:val="63803391"/>
    <w:rsid w:val="65E87050"/>
    <w:rsid w:val="68940C59"/>
    <w:rsid w:val="78F8433B"/>
    <w:rsid w:val="7B1C0D15"/>
    <w:rsid w:val="7BC90C62"/>
    <w:rsid w:val="7E055566"/>
    <w:rsid w:val="7F277107"/>
    <w:rsid w:val="7F9B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spacing w:before="100" w:beforeAutospacing="1" w:after="100" w:afterAutospacing="1"/>
      <w:jc w:val="left"/>
      <w:outlineLvl w:val="0"/>
    </w:pPr>
    <w:rPr>
      <w:rFonts w:ascii="宋体" w:hAnsi="宋体"/>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8"/>
    <w:uiPriority w:val="0"/>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basedOn w:val="7"/>
    <w:link w:val="3"/>
    <w:uiPriority w:val="0"/>
    <w:rPr>
      <w:kern w:val="2"/>
      <w:sz w:val="18"/>
      <w:szCs w:val="18"/>
    </w:rPr>
  </w:style>
  <w:style w:type="character" w:customStyle="1" w:styleId="9">
    <w:name w:val="页眉 字符"/>
    <w:basedOn w:val="7"/>
    <w:link w:val="5"/>
    <w:uiPriority w:val="0"/>
    <w:rPr>
      <w:kern w:val="2"/>
      <w:sz w:val="18"/>
      <w:szCs w:val="18"/>
    </w:rPr>
  </w:style>
  <w:style w:type="character" w:customStyle="1" w:styleId="10">
    <w:name w:val="页脚 字符"/>
    <w:basedOn w:val="7"/>
    <w:link w:val="4"/>
    <w:uiPriority w:val="99"/>
    <w:rPr>
      <w:kern w:val="2"/>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588</Words>
  <Characters>3357</Characters>
  <Lines>27</Lines>
  <Paragraphs>7</Paragraphs>
  <TotalTime>227</TotalTime>
  <ScaleCrop>false</ScaleCrop>
  <LinksUpToDate>false</LinksUpToDate>
  <CharactersWithSpaces>3938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2020-05-25T08:05:00Z</dcterms:created>
  <dc:creator>jay</dc:creator>
  <cp:lastModifiedBy>离线</cp:lastModifiedBy>
  <cp:lastPrinted>2020-06-01T01:42:00Z</cp:lastPrinted>
  <dcterms:modified xsi:type="dcterms:W3CDTF">2020-06-11T03:27:58Z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